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rPr>
          <w:rFonts w:hint="eastAsia" w:ascii="华文中宋" w:hAnsi="华文中宋" w:eastAsia="华文中宋" w:cs="华文中宋"/>
          <w:bCs/>
          <w:kern w:val="0"/>
          <w:sz w:val="44"/>
          <w:szCs w:val="44"/>
        </w:rPr>
      </w:pPr>
    </w:p>
    <w:p>
      <w:pPr>
        <w:widowControl/>
        <w:shd w:val="clear" w:color="auto" w:fill="FFFFFF"/>
        <w:spacing w:line="600" w:lineRule="exact"/>
        <w:jc w:val="center"/>
        <w:rPr>
          <w:rFonts w:ascii="华文中宋" w:hAnsi="华文中宋" w:eastAsia="华文中宋" w:cs="华文中宋"/>
          <w:bCs/>
          <w:kern w:val="0"/>
          <w:sz w:val="44"/>
          <w:szCs w:val="44"/>
        </w:rPr>
      </w:pPr>
      <w:r>
        <w:rPr>
          <w:rFonts w:hint="eastAsia" w:ascii="华文中宋" w:hAnsi="华文中宋" w:eastAsia="华文中宋" w:cs="华文中宋"/>
          <w:bCs/>
          <w:kern w:val="0"/>
          <w:sz w:val="44"/>
          <w:szCs w:val="44"/>
        </w:rPr>
        <w:t>关于加强职业院校课程建设的意见</w:t>
      </w:r>
    </w:p>
    <w:p>
      <w:pPr>
        <w:widowControl/>
        <w:shd w:val="clear" w:color="auto" w:fill="FFFFFF"/>
        <w:tabs>
          <w:tab w:val="center" w:pos="4216"/>
          <w:tab w:val="left" w:pos="6268"/>
        </w:tabs>
        <w:spacing w:line="600" w:lineRule="exact"/>
        <w:jc w:val="left"/>
        <w:rPr>
          <w:rFonts w:ascii="楷体" w:hAnsi="楷体" w:eastAsia="楷体" w:cs="楷体"/>
          <w:kern w:val="0"/>
          <w:sz w:val="32"/>
          <w:szCs w:val="32"/>
          <w:shd w:val="clear" w:color="auto" w:fill="FFFFFF"/>
        </w:rPr>
      </w:pPr>
      <w:r>
        <w:rPr>
          <w:rFonts w:hint="eastAsia" w:ascii="楷体" w:hAnsi="楷体" w:eastAsia="楷体" w:cs="楷体"/>
          <w:kern w:val="0"/>
          <w:sz w:val="30"/>
          <w:szCs w:val="30"/>
          <w:shd w:val="clear" w:color="auto" w:fill="FFFFFF"/>
        </w:rPr>
        <w:tab/>
      </w:r>
      <w:r>
        <w:rPr>
          <w:rFonts w:hint="eastAsia" w:ascii="楷体" w:hAnsi="楷体" w:eastAsia="楷体" w:cs="楷体"/>
          <w:kern w:val="0"/>
          <w:sz w:val="32"/>
          <w:szCs w:val="32"/>
          <w:shd w:val="clear" w:color="auto" w:fill="FFFFFF"/>
        </w:rPr>
        <w:t>（征求意见稿）</w:t>
      </w:r>
      <w:r>
        <w:rPr>
          <w:rFonts w:hint="eastAsia" w:ascii="楷体" w:hAnsi="楷体" w:eastAsia="楷体" w:cs="楷体"/>
          <w:kern w:val="0"/>
          <w:sz w:val="44"/>
          <w:szCs w:val="44"/>
          <w:shd w:val="clear" w:color="auto" w:fill="FFFFFF"/>
        </w:rPr>
        <w:tab/>
      </w:r>
    </w:p>
    <w:p>
      <w:pPr>
        <w:widowControl/>
        <w:shd w:val="clear" w:color="auto" w:fill="FFFFFF"/>
        <w:spacing w:line="560" w:lineRule="exact"/>
        <w:ind w:firstLine="600" w:firstLineChars="200"/>
        <w:jc w:val="left"/>
        <w:rPr>
          <w:rFonts w:ascii="仿宋" w:hAnsi="仿宋" w:eastAsia="仿宋" w:cs="方正仿宋简体"/>
          <w:kern w:val="0"/>
          <w:sz w:val="30"/>
          <w:szCs w:val="30"/>
          <w:shd w:val="clear" w:color="auto" w:fill="FFFFFF"/>
        </w:rPr>
      </w:pPr>
    </w:p>
    <w:p>
      <w:pPr>
        <w:spacing w:line="600" w:lineRule="atLeast"/>
        <w:ind w:firstLine="640" w:firstLineChars="200"/>
        <w:rPr>
          <w:rFonts w:ascii="仿宋" w:hAnsi="仿宋" w:eastAsia="仿宋" w:cs="仿宋"/>
          <w:kern w:val="0"/>
          <w:sz w:val="32"/>
          <w:szCs w:val="32"/>
          <w:shd w:val="clear" w:color="auto" w:fill="FFFFFF"/>
        </w:rPr>
      </w:pPr>
      <w:r>
        <w:rPr>
          <w:rFonts w:hint="eastAsia" w:ascii="仿宋" w:hAnsi="仿宋" w:eastAsia="仿宋" w:cs="仿宋"/>
          <w:sz w:val="32"/>
          <w:szCs w:val="32"/>
        </w:rPr>
        <w:t>课程是职业院校人才培养工作的基础，承担着人才培养工作的核心功能，对保障人才培养质量起关键作用。近年来，我省职业院校坚持把课程作为专业建设的核心任务来抓，课程建设情况总体持续向好，建成了一批优质课程，产生了一批教学名师，形成了一批优秀教学成果，有效促进了专业建设水平和人才培养质量稳步提升。但课程建设总体水平不高、课程标准不科学、优质课程不足、课程管理不完善、课程教学效果不优仍然是湖南职业院校普遍性的短板和瓶颈，亟待加强和改进。</w:t>
      </w:r>
      <w:r>
        <w:rPr>
          <w:rFonts w:hint="eastAsia" w:ascii="仿宋" w:hAnsi="仿宋" w:eastAsia="仿宋" w:cs="仿宋"/>
          <w:kern w:val="0"/>
          <w:sz w:val="32"/>
          <w:szCs w:val="32"/>
          <w:shd w:val="clear" w:color="auto" w:fill="FFFFFF"/>
        </w:rPr>
        <w:t>为深入贯彻党的十九大精神和全国教育大会精神，促进职业教育链深度融入产业链，促进湖南职业教育高质量发展，培养德智体美劳全面发展的社会主义建设者和接班人，现就我省职业院校加强课程建设提出如下意见。</w:t>
      </w:r>
    </w:p>
    <w:p>
      <w:pPr>
        <w:widowControl/>
        <w:spacing w:line="600" w:lineRule="atLeast"/>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一、充分认识职业院校课程建设的重要意义</w:t>
      </w:r>
    </w:p>
    <w:p>
      <w:pPr>
        <w:widowControl/>
        <w:spacing w:line="600" w:lineRule="atLeast"/>
        <w:ind w:firstLine="640" w:firstLineChars="200"/>
        <w:rPr>
          <w:rFonts w:ascii="仿宋" w:hAnsi="仿宋" w:eastAsia="仿宋" w:cs="方正仿宋简体"/>
          <w:kern w:val="0"/>
          <w:sz w:val="32"/>
          <w:szCs w:val="32"/>
          <w:shd w:val="clear" w:color="auto" w:fill="FFFFFF"/>
        </w:rPr>
      </w:pPr>
      <w:r>
        <w:rPr>
          <w:rFonts w:hint="eastAsia" w:ascii="仿宋" w:hAnsi="仿宋" w:eastAsia="仿宋" w:cs="方正仿宋简体"/>
          <w:kern w:val="0"/>
          <w:sz w:val="32"/>
          <w:szCs w:val="32"/>
          <w:shd w:val="clear" w:color="auto" w:fill="FFFFFF"/>
        </w:rPr>
        <w:t>党的十九大报告指出，“要全面贯彻党的教育方针，落实立德树人根本任务”。习近平总书记在全国教育大会上强调“</w:t>
      </w:r>
      <w:r>
        <w:rPr>
          <w:rFonts w:hint="eastAsia" w:ascii="仿宋" w:hAnsi="仿宋" w:eastAsia="仿宋" w:cs="方正仿宋简体"/>
          <w:color w:val="FF0000"/>
          <w:kern w:val="0"/>
          <w:sz w:val="32"/>
          <w:szCs w:val="32"/>
          <w:shd w:val="clear" w:color="auto" w:fill="FFFFFF"/>
        </w:rPr>
        <w:t>要把立德树</w:t>
      </w:r>
      <w:bookmarkStart w:id="0" w:name="_GoBack"/>
      <w:bookmarkEnd w:id="0"/>
      <w:r>
        <w:rPr>
          <w:rFonts w:hint="eastAsia" w:ascii="仿宋" w:hAnsi="仿宋" w:eastAsia="仿宋" w:cs="方正仿宋简体"/>
          <w:color w:val="FF0000"/>
          <w:kern w:val="0"/>
          <w:sz w:val="32"/>
          <w:szCs w:val="32"/>
          <w:shd w:val="clear" w:color="auto" w:fill="FFFFFF"/>
        </w:rPr>
        <w:t>人融入思想道德教育、文化知识教育、社会实践教育各环节</w:t>
      </w:r>
      <w:r>
        <w:rPr>
          <w:rFonts w:hint="eastAsia" w:ascii="仿宋" w:hAnsi="仿宋" w:eastAsia="仿宋" w:cs="方正仿宋简体"/>
          <w:kern w:val="0"/>
          <w:sz w:val="32"/>
          <w:szCs w:val="32"/>
          <w:shd w:val="clear" w:color="auto" w:fill="FFFFFF"/>
        </w:rPr>
        <w:t>”。课程承载着教育思想、教育目标和教育内容，是学校教育教学的基本载体，是专业建设的核心，是人才培养的关键点，是落实立德树人根本任务的重要基础和根本保证。职业院校必须高度重视课程建设，把课程建设作为立德树人的重要基础性工作来抓，不断提高课程教学质量，“培养一代又一代拥护中国共产党领导和我国社会主义制度、立志为中国特色社会主义奋斗终身的有用人才”。</w:t>
      </w:r>
    </w:p>
    <w:p>
      <w:pPr>
        <w:widowControl/>
        <w:spacing w:line="600" w:lineRule="atLeast"/>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二、明确职业院校课程建设的指导思想</w:t>
      </w:r>
    </w:p>
    <w:p>
      <w:pPr>
        <w:widowControl/>
        <w:spacing w:line="600" w:lineRule="atLeast"/>
        <w:ind w:firstLine="640" w:firstLineChars="200"/>
        <w:rPr>
          <w:rFonts w:ascii="黑体" w:hAnsi="黑体" w:eastAsia="黑体" w:cs="黑体"/>
          <w:kern w:val="0"/>
          <w:sz w:val="32"/>
          <w:szCs w:val="32"/>
          <w:shd w:val="clear" w:color="auto" w:fill="FFFFFF"/>
        </w:rPr>
      </w:pPr>
      <w:r>
        <w:rPr>
          <w:rFonts w:hint="eastAsia" w:ascii="仿宋" w:hAnsi="仿宋" w:eastAsia="仿宋" w:cs="方正仿宋简体"/>
          <w:kern w:val="0"/>
          <w:sz w:val="32"/>
          <w:szCs w:val="32"/>
          <w:shd w:val="clear" w:color="auto" w:fill="FFFFFF"/>
        </w:rPr>
        <w:t>职业院校课程建设要坚持德育为先，强化课程思政，着力在坚定理想信念、厚植爱国主义情怀、加强品德修养、增长知识见识、培养奋斗精神、增强综合素质六个方面下功夫；要坚持多元共建，采取政府主导、行业指导、校企主体、师生参与的方式开展课程建设；要坚持动态优化，根据学生发展和产业发展需要，动态更新课程标准，优化课程内容；要坚持开放共享，整合优质教学资源，开放课程平台，推动课程开放与应用。要</w:t>
      </w:r>
      <w:r>
        <w:rPr>
          <w:rFonts w:ascii="仿宋" w:hAnsi="仿宋" w:eastAsia="仿宋" w:cs="方正仿宋简体"/>
          <w:kern w:val="0"/>
          <w:sz w:val="32"/>
          <w:szCs w:val="32"/>
          <w:shd w:val="clear" w:color="auto" w:fill="FFFFFF"/>
        </w:rPr>
        <w:t>进一步</w:t>
      </w:r>
      <w:r>
        <w:rPr>
          <w:rFonts w:hint="eastAsia" w:ascii="仿宋_GB2312" w:eastAsia="仿宋_GB2312"/>
          <w:sz w:val="30"/>
          <w:szCs w:val="30"/>
        </w:rPr>
        <w:t>完善产教结合、</w:t>
      </w:r>
      <w:r>
        <w:rPr>
          <w:rFonts w:ascii="仿宋_GB2312" w:eastAsia="仿宋_GB2312"/>
          <w:sz w:val="30"/>
          <w:szCs w:val="30"/>
        </w:rPr>
        <w:t>科教结合</w:t>
      </w:r>
      <w:r>
        <w:rPr>
          <w:rFonts w:hint="eastAsia" w:ascii="仿宋_GB2312" w:eastAsia="仿宋_GB2312"/>
          <w:sz w:val="30"/>
          <w:szCs w:val="30"/>
        </w:rPr>
        <w:t>的职业教育课程开发机制，</w:t>
      </w:r>
      <w:r>
        <w:rPr>
          <w:rFonts w:hint="eastAsia" w:ascii="仿宋" w:hAnsi="仿宋" w:eastAsia="仿宋" w:cs="方正仿宋简体"/>
          <w:kern w:val="0"/>
          <w:sz w:val="32"/>
          <w:szCs w:val="32"/>
          <w:shd w:val="clear" w:color="auto" w:fill="FFFFFF"/>
        </w:rPr>
        <w:t>遵循教育教学规律和学生成长规律，以提升学生综合素质、服务和促进学生发展为目标，对接科技</w:t>
      </w:r>
      <w:r>
        <w:rPr>
          <w:rFonts w:ascii="仿宋" w:hAnsi="仿宋" w:eastAsia="仿宋" w:cs="方正仿宋简体"/>
          <w:kern w:val="0"/>
          <w:sz w:val="32"/>
          <w:szCs w:val="32"/>
          <w:shd w:val="clear" w:color="auto" w:fill="FFFFFF"/>
        </w:rPr>
        <w:t>发展、</w:t>
      </w:r>
      <w:r>
        <w:rPr>
          <w:rFonts w:hint="eastAsia" w:ascii="仿宋" w:hAnsi="仿宋" w:eastAsia="仿宋" w:cs="方正仿宋简体"/>
          <w:kern w:val="0"/>
          <w:sz w:val="32"/>
          <w:szCs w:val="32"/>
          <w:shd w:val="clear" w:color="auto" w:fill="FFFFFF"/>
        </w:rPr>
        <w:t>产业进步</w:t>
      </w:r>
      <w:r>
        <w:rPr>
          <w:rFonts w:hint="eastAsia" w:ascii="仿宋_GB2312" w:eastAsia="仿宋_GB2312"/>
          <w:sz w:val="30"/>
          <w:szCs w:val="30"/>
        </w:rPr>
        <w:t>与职业需求对人才能力的要求</w:t>
      </w:r>
      <w:r>
        <w:rPr>
          <w:rFonts w:hint="eastAsia" w:ascii="仿宋" w:hAnsi="仿宋" w:eastAsia="仿宋" w:cs="方正仿宋简体"/>
          <w:kern w:val="0"/>
          <w:sz w:val="32"/>
          <w:szCs w:val="32"/>
          <w:shd w:val="clear" w:color="auto" w:fill="FFFFFF"/>
        </w:rPr>
        <w:t>，科学构建课程体系。</w:t>
      </w:r>
      <w:r>
        <w:rPr>
          <w:rFonts w:hint="eastAsia" w:ascii="黑体" w:hAnsi="黑体" w:eastAsia="黑体" w:cs="黑体"/>
          <w:kern w:val="0"/>
          <w:sz w:val="32"/>
          <w:szCs w:val="32"/>
          <w:shd w:val="clear" w:color="auto" w:fill="FFFFFF"/>
        </w:rPr>
        <w:t>三.更新职业院校课程建设理念</w:t>
      </w:r>
    </w:p>
    <w:p>
      <w:pPr>
        <w:widowControl/>
        <w:spacing w:line="600" w:lineRule="atLeast"/>
        <w:ind w:firstLine="640" w:firstLineChars="200"/>
        <w:rPr>
          <w:rFonts w:ascii="仿宋" w:hAnsi="仿宋" w:eastAsia="仿宋" w:cs="方正楷体简体"/>
          <w:kern w:val="0"/>
          <w:sz w:val="32"/>
          <w:szCs w:val="32"/>
          <w:shd w:val="clear" w:color="auto" w:fill="FFFFFF"/>
        </w:rPr>
      </w:pPr>
      <w:r>
        <w:rPr>
          <w:rFonts w:hint="eastAsia" w:ascii="仿宋" w:hAnsi="仿宋" w:eastAsia="仿宋" w:cs="方正楷体简体"/>
          <w:kern w:val="0"/>
          <w:sz w:val="32"/>
          <w:szCs w:val="32"/>
          <w:shd w:val="clear" w:color="auto" w:fill="FFFFFF"/>
        </w:rPr>
        <w:t>坚持以科技进步和经济社会发展需求为导向、以学生终身发展为本位、以专业发展规律为遵循，建立现代职业教育课程观。树立需求导向的课程观，紧跟产业发展前沿，把握新工艺、新装备、新材料、新技术、新业态的发展方向，精准对接职业岗位要求建设课程。树立能力递进的课程观，根据技术技能人才成长规律和学生认知规律，按照教学设计分层递进、课程内容编排由简到繁、教学组织梯度推进的路径建设课程。树立全面发展的课程观，以促进学生德智体美劳全面发展为目标，按照将思想政治教育、文化知识教育、专业技能教育、职业素养教育融为一体的思路建设课程。</w:t>
      </w:r>
    </w:p>
    <w:p>
      <w:pPr>
        <w:widowControl/>
        <w:spacing w:line="600" w:lineRule="atLeast"/>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四、主要任务</w:t>
      </w:r>
    </w:p>
    <w:p>
      <w:pPr>
        <w:widowControl/>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1.健全课程建设制度。</w:t>
      </w:r>
      <w:r>
        <w:rPr>
          <w:rFonts w:hint="eastAsia" w:ascii="仿宋" w:hAnsi="仿宋" w:eastAsia="仿宋" w:cs="方正楷体简体"/>
          <w:kern w:val="0"/>
          <w:sz w:val="32"/>
          <w:szCs w:val="32"/>
          <w:shd w:val="clear" w:color="auto" w:fill="FFFFFF"/>
        </w:rPr>
        <w:t>要切实理顺课程建设相关要素之间的逻辑关系，健全课程建设基本制度。职业院校要建立健全课程建设统筹机制和校企合作专业课程开发机制。遵循“专业教学标准—人才培养方案—课程体系—课程标准—课程内容—学情分析—课程实施”的建设流程，不断提高课程建设的规范性、科学性、合理性。职业院校要使用国家、省相关专业教学标准，或与企业合作开发专业教学标准。省教育厅推行专业教学标准和人才培养方案公开制度，每年遴选一批优秀专业人才培养方案。</w:t>
      </w:r>
    </w:p>
    <w:p>
      <w:pPr>
        <w:spacing w:line="600" w:lineRule="atLeast"/>
        <w:ind w:firstLine="643" w:firstLineChars="200"/>
        <w:rPr>
          <w:rFonts w:eastAsia="仿宋_GB2312" w:cs="仿宋_GB2312"/>
          <w:sz w:val="32"/>
          <w:szCs w:val="32"/>
        </w:rPr>
      </w:pPr>
      <w:r>
        <w:rPr>
          <w:rFonts w:hint="eastAsia" w:ascii="仿宋" w:hAnsi="仿宋" w:eastAsia="仿宋" w:cs="方正楷体简体"/>
          <w:b/>
          <w:bCs/>
          <w:kern w:val="0"/>
          <w:sz w:val="32"/>
          <w:szCs w:val="32"/>
          <w:shd w:val="clear" w:color="auto" w:fill="FFFFFF"/>
        </w:rPr>
        <w:t>2.完善课程体系。</w:t>
      </w:r>
      <w:r>
        <w:rPr>
          <w:rFonts w:hint="eastAsia" w:ascii="仿宋" w:hAnsi="仿宋" w:eastAsia="仿宋" w:cs="方正楷体简体"/>
          <w:kern w:val="0"/>
          <w:sz w:val="32"/>
          <w:szCs w:val="32"/>
          <w:shd w:val="clear" w:color="auto" w:fill="FFFFFF"/>
        </w:rPr>
        <w:t>职业院校要</w:t>
      </w:r>
      <w:r>
        <w:rPr>
          <w:rFonts w:hint="eastAsia" w:ascii="仿宋" w:hAnsi="仿宋" w:eastAsia="仿宋" w:cs="方正仿宋简体"/>
          <w:sz w:val="32"/>
          <w:szCs w:val="32"/>
          <w:shd w:val="clear" w:color="auto" w:fill="FFFFFF"/>
        </w:rPr>
        <w:t>突出课程在专业人才培养中的核心地位，</w:t>
      </w:r>
      <w:r>
        <w:rPr>
          <w:rFonts w:hint="eastAsia" w:ascii="仿宋" w:hAnsi="仿宋" w:eastAsia="仿宋" w:cs="方正楷体简体"/>
          <w:kern w:val="0"/>
          <w:sz w:val="32"/>
          <w:szCs w:val="32"/>
          <w:shd w:val="clear" w:color="auto" w:fill="FFFFFF"/>
        </w:rPr>
        <w:t>建立健全</w:t>
      </w:r>
      <w:r>
        <w:rPr>
          <w:rFonts w:hint="eastAsia" w:ascii="仿宋" w:hAnsi="仿宋" w:eastAsia="仿宋" w:cs="方正仿宋简体"/>
          <w:sz w:val="32"/>
          <w:szCs w:val="32"/>
          <w:shd w:val="clear" w:color="auto" w:fill="FFFFFF"/>
        </w:rPr>
        <w:t>课程设置论证制度，</w:t>
      </w:r>
      <w:r>
        <w:rPr>
          <w:rFonts w:hint="eastAsia" w:ascii="仿宋" w:hAnsi="仿宋" w:eastAsia="仿宋" w:cs="方正楷体简体"/>
          <w:kern w:val="0"/>
          <w:sz w:val="32"/>
          <w:szCs w:val="32"/>
          <w:shd w:val="clear" w:color="auto" w:fill="FFFFFF"/>
        </w:rPr>
        <w:t>按照</w:t>
      </w:r>
      <w:r>
        <w:rPr>
          <w:rFonts w:hint="eastAsia" w:eastAsia="仿宋_GB2312" w:cs="仿宋_GB2312"/>
          <w:sz w:val="32"/>
          <w:szCs w:val="32"/>
        </w:rPr>
        <w:t>夯实基础、提升能力、强化素质的原则，</w:t>
      </w:r>
      <w:r>
        <w:rPr>
          <w:rFonts w:hint="eastAsia" w:ascii="仿宋" w:hAnsi="仿宋" w:eastAsia="仿宋" w:cs="方正仿宋简体"/>
          <w:sz w:val="32"/>
          <w:szCs w:val="32"/>
          <w:shd w:val="clear" w:color="auto" w:fill="FFFFFF"/>
        </w:rPr>
        <w:t>构建公共课程、专业课程、拓展课程横向配合的课程体系。</w:t>
      </w:r>
      <w:r>
        <w:rPr>
          <w:rFonts w:hint="eastAsia" w:eastAsia="仿宋_GB2312" w:cs="仿宋_GB2312"/>
          <w:sz w:val="32"/>
          <w:szCs w:val="32"/>
        </w:rPr>
        <w:t>要按照教育部相关教学文件要求，规范公共课课程设置与教学实施，</w:t>
      </w:r>
      <w:r>
        <w:rPr>
          <w:rFonts w:hint="eastAsia" w:ascii="仿宋" w:hAnsi="仿宋" w:eastAsia="仿宋" w:cs="方正仿宋简体"/>
          <w:sz w:val="32"/>
          <w:szCs w:val="32"/>
          <w:shd w:val="clear" w:color="auto" w:fill="FFFFFF"/>
        </w:rPr>
        <w:t>服务专业教学需求，为学生全面发展打下扎实的基础。根据专业人才培养方案要求，加强专业基础课程、专业核心课程、专业实践课程建设，建立精准对接人才培养目标的专业课程体系，着力提升学生专业能力。根据学校服务面向和办学特色，加强学生素质拓展课程建设，</w:t>
      </w:r>
      <w:r>
        <w:rPr>
          <w:rFonts w:hint="eastAsia" w:ascii="仿宋_GB2312" w:eastAsia="仿宋_GB2312"/>
          <w:sz w:val="30"/>
          <w:szCs w:val="30"/>
        </w:rPr>
        <w:t>探索开发以培养综合素质为核心的跨专业课程和主题学习课程，</w:t>
      </w:r>
      <w:r>
        <w:rPr>
          <w:rFonts w:hint="eastAsia" w:ascii="仿宋" w:hAnsi="仿宋" w:eastAsia="仿宋" w:cs="方正仿宋简体"/>
          <w:sz w:val="32"/>
          <w:szCs w:val="32"/>
          <w:shd w:val="clear" w:color="auto" w:fill="FFFFFF"/>
        </w:rPr>
        <w:t>打造特色品牌，提升学生岗位竞争力和发展潜力。注重专业群课程建设，</w:t>
      </w:r>
      <w:r>
        <w:rPr>
          <w:rFonts w:hint="eastAsia" w:eastAsia="仿宋_GB2312" w:cs="仿宋_GB2312"/>
          <w:sz w:val="32"/>
          <w:szCs w:val="32"/>
        </w:rPr>
        <w:t>按照“底层共享、中层分立、高层互选”的思路，构建能力递进专业群课程体系。</w:t>
      </w:r>
      <w:r>
        <w:rPr>
          <w:rFonts w:hint="eastAsia" w:ascii="仿宋" w:hAnsi="仿宋" w:eastAsia="仿宋" w:cs="方正仿宋简体"/>
          <w:sz w:val="32"/>
          <w:szCs w:val="32"/>
          <w:shd w:val="clear" w:color="auto" w:fill="FFFFFF"/>
        </w:rPr>
        <w:t>加强中职、高职、本科各学段教学内容纵向衔接课程体系建设。</w:t>
      </w:r>
    </w:p>
    <w:p>
      <w:pPr>
        <w:widowControl/>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3</w:t>
      </w:r>
      <w:r>
        <w:rPr>
          <w:rFonts w:ascii="仿宋" w:hAnsi="仿宋" w:eastAsia="仿宋" w:cs="方正楷体简体"/>
          <w:b/>
          <w:bCs/>
          <w:kern w:val="0"/>
          <w:sz w:val="32"/>
          <w:szCs w:val="32"/>
          <w:shd w:val="clear" w:color="auto" w:fill="FFFFFF"/>
        </w:rPr>
        <w:t>.</w:t>
      </w:r>
      <w:r>
        <w:rPr>
          <w:rFonts w:hint="eastAsia" w:ascii="仿宋" w:hAnsi="仿宋" w:eastAsia="仿宋" w:cs="方正楷体简体"/>
          <w:b/>
          <w:bCs/>
          <w:kern w:val="0"/>
          <w:sz w:val="32"/>
          <w:szCs w:val="32"/>
          <w:shd w:val="clear" w:color="auto" w:fill="FFFFFF"/>
        </w:rPr>
        <w:t>开发课程标准。</w:t>
      </w:r>
      <w:r>
        <w:rPr>
          <w:rFonts w:hint="eastAsia" w:ascii="仿宋" w:hAnsi="仿宋" w:eastAsia="仿宋" w:cs="方正楷体简体"/>
          <w:kern w:val="0"/>
          <w:sz w:val="32"/>
          <w:szCs w:val="32"/>
          <w:shd w:val="clear" w:color="auto" w:fill="FFFFFF"/>
        </w:rPr>
        <w:t>职业院校要建立校级专业课程标准。课程标准应包括技能标准、考核标准，要与职业标准、行业标准对接，反映专业人才培养目标、人才规格。中职学校要贯彻落实国家和省标准，</w:t>
      </w:r>
      <w:r>
        <w:rPr>
          <w:rFonts w:hint="eastAsia" w:ascii="仿宋" w:hAnsi="仿宋" w:eastAsia="仿宋" w:cs="方正仿宋简体"/>
          <w:sz w:val="32"/>
          <w:szCs w:val="32"/>
          <w:shd w:val="clear" w:color="auto" w:fill="FFFFFF"/>
        </w:rPr>
        <w:t>市州教育行政部门要加强中职学校教学标准开发的组织与指导，有计划地组织开发具有地方特色的中职课程标准。</w:t>
      </w:r>
      <w:r>
        <w:rPr>
          <w:rFonts w:hint="eastAsia" w:ascii="仿宋" w:hAnsi="仿宋" w:eastAsia="仿宋" w:cs="方正楷体简体"/>
          <w:kern w:val="0"/>
          <w:sz w:val="32"/>
          <w:szCs w:val="32"/>
          <w:shd w:val="clear" w:color="auto" w:fill="FFFFFF"/>
        </w:rPr>
        <w:t>鼓励高职院校通过国际合作，开发与国际先进标准接轨的课程标准。充分发挥专业联盟、校企联盟、职教集团等组织在课程标准开发建设中的作用。实行课程标准公开制度。</w:t>
      </w:r>
    </w:p>
    <w:p>
      <w:pPr>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4.优化课程内容</w:t>
      </w:r>
      <w:r>
        <w:rPr>
          <w:rFonts w:ascii="仿宋" w:hAnsi="仿宋" w:eastAsia="仿宋" w:cs="方正楷体简体"/>
          <w:b/>
          <w:bCs/>
          <w:kern w:val="0"/>
          <w:sz w:val="32"/>
          <w:szCs w:val="32"/>
          <w:shd w:val="clear" w:color="auto" w:fill="FFFFFF"/>
        </w:rPr>
        <w:t>。</w:t>
      </w:r>
      <w:r>
        <w:rPr>
          <w:rFonts w:hint="eastAsia" w:ascii="仿宋" w:hAnsi="仿宋" w:eastAsia="仿宋" w:cs="方正楷体简体"/>
          <w:kern w:val="0"/>
          <w:sz w:val="32"/>
          <w:szCs w:val="32"/>
          <w:shd w:val="clear" w:color="auto" w:fill="FFFFFF"/>
        </w:rPr>
        <w:t>根据专业人才培养目标，明确各门课程在专业人才培养中的地位，提升课程内容与课程目标、人才培养规格、职业岗位要求的契合度。强化课程思政，充分挖掘和运用各类课程所蕴含的思想政治教育资源，促进专业知识教育与思想政治教育紧密结合，确保各门课程与思想政治理论课同向同行，形成协同效应。课程内容应注重融入中华优秀传统文化、中国经济社会发展特别是湖湘优秀文化、湖南经济社会发展等方面的元素，体现文化特色和学校特色。</w:t>
      </w:r>
      <w:r>
        <w:rPr>
          <w:rFonts w:hint="eastAsia" w:ascii="仿宋" w:hAnsi="仿宋" w:eastAsia="仿宋" w:cs="方正仿宋简体"/>
          <w:sz w:val="32"/>
          <w:szCs w:val="32"/>
          <w:shd w:val="clear" w:color="auto" w:fill="FFFFFF"/>
        </w:rPr>
        <w:t>对接最新职业标准、行业标准和岗位规范，</w:t>
      </w:r>
      <w:r>
        <w:rPr>
          <w:rFonts w:hint="eastAsia" w:ascii="仿宋" w:hAnsi="仿宋" w:eastAsia="仿宋" w:cs="方正楷体简体"/>
          <w:kern w:val="0"/>
          <w:sz w:val="32"/>
          <w:szCs w:val="32"/>
          <w:shd w:val="clear" w:color="auto" w:fill="FFFFFF"/>
        </w:rPr>
        <w:t>动态优化专业课程内容，淘汰“水课”，打造“金课”。高职院校要合理提升课程挑战度、增加课程难度、拓展课程深度。</w:t>
      </w:r>
    </w:p>
    <w:p>
      <w:pPr>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5.融入职业能力课程。按照</w:t>
      </w:r>
      <w:r>
        <w:rPr>
          <w:rFonts w:ascii="仿宋" w:hAnsi="仿宋" w:eastAsia="仿宋" w:cs="方正楷体简体"/>
          <w:b/>
          <w:bCs/>
          <w:kern w:val="0"/>
          <w:sz w:val="32"/>
          <w:szCs w:val="32"/>
          <w:shd w:val="clear" w:color="auto" w:fill="FFFFFF"/>
        </w:rPr>
        <w:t>国家部署</w:t>
      </w:r>
      <w:r>
        <w:rPr>
          <w:rFonts w:hint="eastAsia" w:ascii="仿宋" w:hAnsi="仿宋" w:eastAsia="仿宋" w:cs="方正楷体简体"/>
          <w:kern w:val="0"/>
          <w:sz w:val="32"/>
          <w:szCs w:val="32"/>
          <w:shd w:val="clear" w:color="auto" w:fill="FFFFFF"/>
        </w:rPr>
        <w:t>推行1+X证书制度。根据专业发展的目标要求，引进行业企业的职业能力证书课程，积极参与行业企业职业能力证书课程的开发工作，同时大力提升教师参与行业企业职业能力证书课程的开发能力，培养复合型技术技能人才，提升毕业生一专多能、多证多岗的就业和发展能力。</w:t>
      </w:r>
    </w:p>
    <w:p>
      <w:pPr>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6</w:t>
      </w:r>
      <w:r>
        <w:rPr>
          <w:rFonts w:ascii="仿宋" w:hAnsi="仿宋" w:eastAsia="仿宋" w:cs="方正楷体简体"/>
          <w:b/>
          <w:bCs/>
          <w:kern w:val="0"/>
          <w:sz w:val="32"/>
          <w:szCs w:val="32"/>
          <w:shd w:val="clear" w:color="auto" w:fill="FFFFFF"/>
        </w:rPr>
        <w:t>.</w:t>
      </w:r>
      <w:r>
        <w:rPr>
          <w:rFonts w:hint="eastAsia" w:ascii="仿宋" w:hAnsi="仿宋" w:eastAsia="仿宋" w:cs="方正楷体简体"/>
          <w:b/>
          <w:bCs/>
          <w:kern w:val="0"/>
          <w:sz w:val="32"/>
          <w:szCs w:val="32"/>
          <w:shd w:val="clear" w:color="auto" w:fill="FFFFFF"/>
        </w:rPr>
        <w:t>建设优质课程</w:t>
      </w:r>
      <w:r>
        <w:rPr>
          <w:rFonts w:ascii="仿宋" w:hAnsi="仿宋" w:eastAsia="仿宋" w:cs="方正楷体简体"/>
          <w:b/>
          <w:bCs/>
          <w:kern w:val="0"/>
          <w:sz w:val="32"/>
          <w:szCs w:val="32"/>
          <w:shd w:val="clear" w:color="auto" w:fill="FFFFFF"/>
        </w:rPr>
        <w:t>。</w:t>
      </w:r>
      <w:r>
        <w:rPr>
          <w:rFonts w:hint="eastAsia" w:ascii="仿宋" w:hAnsi="仿宋" w:eastAsia="仿宋" w:cs="方正楷体简体"/>
          <w:kern w:val="0"/>
          <w:sz w:val="32"/>
          <w:szCs w:val="32"/>
          <w:shd w:val="clear" w:color="auto" w:fill="FFFFFF"/>
        </w:rPr>
        <w:t>积极推进优质课程建设计划，建立省、市、校三级优质课程体系，建设一批具有本土特色、学校特色的优质精品课程。到2022年，省级建设中职、高职优质精品课程各1000门。市州根据省级优质课程建设计划，制定本地建设计划，指导每所中职学校重点建设至少10门优质精品课程。每所高职院校重点建设至少20门优质精品课程。积极探索开发虚拟仿真优质课程，推进“智能+教育”。到2022年，省级建设100个优质专业教学资源库，推动职业院校积极建设标准库、试题库、案例库、素材库和校本教材等教学资源。鼓励职业院校与国内外相关企业共建共享优质课程资源，重点共建实习实训课程资源。</w:t>
      </w:r>
    </w:p>
    <w:p>
      <w:pPr>
        <w:pStyle w:val="7"/>
        <w:spacing w:before="0" w:beforeAutospacing="0" w:after="0" w:afterAutospacing="0" w:line="600" w:lineRule="atLeast"/>
        <w:ind w:firstLine="643" w:firstLineChars="200"/>
        <w:jc w:val="both"/>
        <w:rPr>
          <w:rFonts w:ascii="仿宋" w:hAnsi="仿宋" w:eastAsia="仿宋" w:cs="方正楷体简体"/>
          <w:sz w:val="32"/>
          <w:szCs w:val="32"/>
          <w:shd w:val="clear" w:color="auto" w:fill="FFFFFF"/>
        </w:rPr>
      </w:pPr>
      <w:r>
        <w:rPr>
          <w:rFonts w:hint="eastAsia" w:ascii="仿宋" w:hAnsi="仿宋" w:eastAsia="仿宋" w:cs="方正楷体简体"/>
          <w:b/>
          <w:bCs/>
          <w:sz w:val="32"/>
          <w:szCs w:val="32"/>
          <w:shd w:val="clear" w:color="auto" w:fill="FFFFFF"/>
        </w:rPr>
        <w:t>7.加强教材建设。</w:t>
      </w:r>
      <w:r>
        <w:rPr>
          <w:rFonts w:hint="eastAsia" w:ascii="仿宋" w:hAnsi="仿宋" w:eastAsia="仿宋" w:cs="方正楷体简体"/>
          <w:sz w:val="32"/>
          <w:szCs w:val="32"/>
          <w:shd w:val="clear" w:color="auto" w:fill="FFFFFF"/>
        </w:rPr>
        <w:t>严格规范职业</w:t>
      </w:r>
      <w:r>
        <w:rPr>
          <w:rFonts w:ascii="仿宋" w:hAnsi="仿宋" w:eastAsia="仿宋" w:cs="方正楷体简体"/>
          <w:sz w:val="32"/>
          <w:szCs w:val="32"/>
          <w:shd w:val="clear" w:color="auto" w:fill="FFFFFF"/>
        </w:rPr>
        <w:t>院校</w:t>
      </w:r>
      <w:r>
        <w:rPr>
          <w:rFonts w:hint="eastAsia" w:ascii="仿宋" w:hAnsi="仿宋" w:eastAsia="仿宋" w:cs="方正楷体简体"/>
          <w:sz w:val="32"/>
          <w:szCs w:val="32"/>
          <w:shd w:val="clear" w:color="auto" w:fill="FFFFFF"/>
        </w:rPr>
        <w:t>教材的遴选、使用和管理工作。职业院校应依据国家和省教育厅有关规定选用教材，要完善课程教材遴选使用、质量监控和评价机制，健全课程教材使用效果的跟踪调查和信息反馈制度。鼓励支持职业院校按照国家和省级教材规划，开发建设一批具有湖湘特色的本土化教材。省教育厅遴选认定一批省级优秀校本教材，将职业院校教材建设情况纳入办学水平与教学质量评估、职业教育重点建设项目遴选等考核指标体系，作为教学工作诊断与改进的重要内容。</w:t>
      </w:r>
    </w:p>
    <w:p>
      <w:pPr>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8.规范课程实施。职业</w:t>
      </w:r>
      <w:r>
        <w:rPr>
          <w:rFonts w:ascii="仿宋" w:hAnsi="仿宋" w:eastAsia="仿宋" w:cs="方正楷体简体"/>
          <w:b/>
          <w:bCs/>
          <w:kern w:val="0"/>
          <w:sz w:val="32"/>
          <w:szCs w:val="32"/>
          <w:shd w:val="clear" w:color="auto" w:fill="FFFFFF"/>
        </w:rPr>
        <w:t>院校</w:t>
      </w:r>
      <w:r>
        <w:rPr>
          <w:rFonts w:hint="eastAsia" w:ascii="仿宋" w:hAnsi="仿宋" w:eastAsia="仿宋" w:cs="方正楷体简体"/>
          <w:kern w:val="0"/>
          <w:sz w:val="32"/>
          <w:szCs w:val="32"/>
          <w:shd w:val="clear" w:color="auto" w:fill="FFFFFF"/>
        </w:rPr>
        <w:t>要以促进学生成长成才为目标，按照课程标准、教学计划优化课程教学设计和课堂教学。推广学生主体的课程教学模式，创新教学方法和手段，广泛运用启发式、探究式、讨论式、参与式教学，积极推进现代信息技术与课堂教学的深度融合。推动课堂革命，促进高效课堂建设，逐步实施小班教学，常态化开展公开课、示范课等教学活动，切实提高课堂教学质量。强化</w:t>
      </w:r>
      <w:r>
        <w:rPr>
          <w:rFonts w:ascii="仿宋" w:hAnsi="仿宋" w:eastAsia="仿宋" w:cs="方正楷体简体"/>
          <w:kern w:val="0"/>
          <w:sz w:val="32"/>
          <w:szCs w:val="32"/>
          <w:shd w:val="clear" w:color="auto" w:fill="FFFFFF"/>
        </w:rPr>
        <w:t>实践教学环节，</w:t>
      </w:r>
      <w:r>
        <w:rPr>
          <w:rFonts w:hint="eastAsia" w:ascii="仿宋" w:hAnsi="仿宋" w:eastAsia="仿宋" w:cs="方正楷体简体"/>
          <w:kern w:val="0"/>
          <w:sz w:val="32"/>
          <w:szCs w:val="32"/>
          <w:shd w:val="clear" w:color="auto" w:fill="FFFFFF"/>
        </w:rPr>
        <w:t>规范实习实训管理。保证实践性教学场地和实践性教学课时，</w:t>
      </w:r>
      <w:r>
        <w:rPr>
          <w:rFonts w:hint="eastAsia" w:ascii="仿宋" w:hAnsi="仿宋" w:eastAsia="仿宋" w:cs="仿宋"/>
          <w:sz w:val="32"/>
          <w:szCs w:val="32"/>
          <w:shd w:val="clear" w:color="auto" w:fill="FFFFFF"/>
        </w:rPr>
        <w:t>实践性教学课时原则上要占总课时数一半以上，顶岗实习累计时间一般为六个月</w:t>
      </w:r>
      <w:r>
        <w:rPr>
          <w:rFonts w:hint="eastAsia" w:ascii="仿宋" w:hAnsi="仿宋" w:eastAsia="仿宋" w:cs="方正楷体简体"/>
          <w:kern w:val="0"/>
          <w:sz w:val="32"/>
          <w:szCs w:val="32"/>
          <w:shd w:val="clear" w:color="auto" w:fill="FFFFFF"/>
        </w:rPr>
        <w:t>。同步</w:t>
      </w:r>
      <w:r>
        <w:rPr>
          <w:rFonts w:ascii="仿宋" w:hAnsi="仿宋" w:eastAsia="仿宋" w:cs="方正楷体简体"/>
          <w:kern w:val="0"/>
          <w:sz w:val="32"/>
          <w:szCs w:val="32"/>
          <w:shd w:val="clear" w:color="auto" w:fill="FFFFFF"/>
        </w:rPr>
        <w:t>加强</w:t>
      </w:r>
      <w:r>
        <w:rPr>
          <w:rFonts w:hint="eastAsia" w:ascii="仿宋" w:hAnsi="仿宋" w:eastAsia="仿宋" w:cs="仿宋"/>
          <w:sz w:val="32"/>
          <w:szCs w:val="32"/>
          <w:shd w:val="clear" w:color="auto" w:fill="FFFFFF"/>
        </w:rPr>
        <w:t>公共课和专业课实践性教学比重。</w:t>
      </w:r>
      <w:r>
        <w:rPr>
          <w:rFonts w:hint="eastAsia" w:ascii="仿宋" w:hAnsi="仿宋" w:eastAsia="仿宋" w:cs="方正楷体简体"/>
          <w:kern w:val="0"/>
          <w:sz w:val="32"/>
          <w:szCs w:val="32"/>
          <w:shd w:val="clear" w:color="auto" w:fill="FFFFFF"/>
        </w:rPr>
        <w:t>职业院校要积极开展课堂教学比武活动。省教育厅每年开展职业院校教师课堂教学竞赛。</w:t>
      </w:r>
    </w:p>
    <w:p>
      <w:pPr>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9.改革课程评价。</w:t>
      </w:r>
      <w:r>
        <w:rPr>
          <w:rFonts w:hint="eastAsia" w:ascii="仿宋" w:hAnsi="仿宋" w:eastAsia="仿宋" w:cs="方正楷体简体"/>
          <w:kern w:val="0"/>
          <w:sz w:val="32"/>
          <w:szCs w:val="32"/>
          <w:shd w:val="clear" w:color="auto" w:fill="FFFFFF"/>
        </w:rPr>
        <w:t>职业院校要健全课程评价制度，对各门课程建设情况进行综合评价，并逐步提高课程教学质量在教师职称评审、绩效考核、评优评先中的比重。重视课程教学的过程性评价，积极探索课程诊断性评价和发展性评价机制，建立以学习者为中心，以学习效果为导向，学校、企业、教师、家长、学生等多元主体共同参与的课程评价机制。课程教学质量评价应采用理论知识考试、学生作品评审、技能水平测试、职业素养评估等多样化评价方式，充分利用大数据分析和云教学平台等现代信息技术创新课程评价方法和手段。探索建立省、市、校三级课程教学质量测试制度。</w:t>
      </w:r>
    </w:p>
    <w:p>
      <w:pPr>
        <w:widowControl/>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10.加强课程管理。</w:t>
      </w:r>
      <w:r>
        <w:rPr>
          <w:rFonts w:hint="eastAsia" w:ascii="仿宋" w:hAnsi="仿宋" w:eastAsia="仿宋" w:cs="方正楷体简体"/>
          <w:kern w:val="0"/>
          <w:sz w:val="32"/>
          <w:szCs w:val="32"/>
          <w:shd w:val="clear" w:color="auto" w:fill="FFFFFF"/>
        </w:rPr>
        <w:t>职业院校要加强课程管理制度建设。完善课程设置管理制度，建立健全课程审核、评估、准入和退出机制，提高课程设置对人才培养目标、培养规格的支撑度和吻合度。建立健全课程标准、教学计划执行情况考核制度，完善教案评价制度。加强师德师风建设，严肃课堂教学纪律，规范课堂教学言行，加强课堂教学过程管理，抓好课堂教学关键环节，推进课程教学改革创新，提高课程教学管理效能。</w:t>
      </w:r>
    </w:p>
    <w:p>
      <w:pPr>
        <w:pStyle w:val="2"/>
        <w:spacing w:line="600" w:lineRule="atLeast"/>
        <w:ind w:firstLine="640"/>
        <w:rPr>
          <w:rFonts w:ascii="黑体" w:hAnsi="黑体"/>
          <w:b w:val="0"/>
          <w:bCs w:val="0"/>
          <w:sz w:val="32"/>
          <w:szCs w:val="32"/>
        </w:rPr>
      </w:pPr>
      <w:r>
        <w:rPr>
          <w:rFonts w:hint="eastAsia" w:ascii="黑体" w:hAnsi="黑体"/>
          <w:b w:val="0"/>
          <w:bCs w:val="0"/>
          <w:sz w:val="32"/>
          <w:szCs w:val="32"/>
        </w:rPr>
        <w:t>五</w:t>
      </w:r>
      <w:r>
        <w:rPr>
          <w:rFonts w:ascii="黑体" w:hAnsi="黑体"/>
          <w:b w:val="0"/>
          <w:bCs w:val="0"/>
          <w:sz w:val="32"/>
          <w:szCs w:val="32"/>
        </w:rPr>
        <w:t>、</w:t>
      </w:r>
      <w:r>
        <w:rPr>
          <w:rFonts w:hint="eastAsia" w:ascii="黑体" w:hAnsi="黑体"/>
          <w:b w:val="0"/>
          <w:bCs w:val="0"/>
          <w:sz w:val="32"/>
          <w:szCs w:val="32"/>
        </w:rPr>
        <w:t>保障措施</w:t>
      </w:r>
    </w:p>
    <w:p>
      <w:pPr>
        <w:widowControl/>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1</w:t>
      </w:r>
      <w:r>
        <w:rPr>
          <w:rFonts w:ascii="仿宋" w:hAnsi="仿宋" w:eastAsia="仿宋" w:cs="方正楷体简体"/>
          <w:b/>
          <w:bCs/>
          <w:kern w:val="0"/>
          <w:sz w:val="32"/>
          <w:szCs w:val="32"/>
          <w:shd w:val="clear" w:color="auto" w:fill="FFFFFF"/>
        </w:rPr>
        <w:t>.</w:t>
      </w:r>
      <w:r>
        <w:rPr>
          <w:rFonts w:hint="eastAsia" w:ascii="仿宋" w:hAnsi="仿宋" w:eastAsia="仿宋" w:cs="方正楷体简体"/>
          <w:b/>
          <w:bCs/>
          <w:kern w:val="0"/>
          <w:sz w:val="32"/>
          <w:szCs w:val="32"/>
          <w:shd w:val="clear" w:color="auto" w:fill="FFFFFF"/>
        </w:rPr>
        <w:t>强化课程建设主体责任</w:t>
      </w:r>
      <w:r>
        <w:rPr>
          <w:rFonts w:ascii="仿宋" w:hAnsi="仿宋" w:eastAsia="仿宋" w:cs="方正楷体简体"/>
          <w:b/>
          <w:bCs/>
          <w:kern w:val="0"/>
          <w:sz w:val="32"/>
          <w:szCs w:val="32"/>
          <w:shd w:val="clear" w:color="auto" w:fill="FFFFFF"/>
        </w:rPr>
        <w:t>。</w:t>
      </w:r>
      <w:r>
        <w:rPr>
          <w:rFonts w:hint="eastAsia" w:ascii="仿宋" w:hAnsi="仿宋" w:eastAsia="仿宋" w:cs="方正楷体简体"/>
          <w:kern w:val="0"/>
          <w:sz w:val="32"/>
          <w:szCs w:val="32"/>
          <w:shd w:val="clear" w:color="auto" w:fill="FFFFFF"/>
        </w:rPr>
        <w:t>职业院校要建立健全学校党委领导、校长和分管负责人全面负责、教务部门和院（系）具体负责的课程建设管理体系。学校党委、行政要经常研究课程建设和管理工作，教务部门和院（系）要切实加强课程教学管理，教师要切实承担起加强课堂教学管理和提高教学质量的主体责任。职业院校要加强课程教学的团队建设。学校要为</w:t>
      </w:r>
      <w:r>
        <w:rPr>
          <w:rFonts w:ascii="仿宋" w:hAnsi="仿宋" w:eastAsia="仿宋" w:cs="方正楷体简体"/>
          <w:kern w:val="0"/>
          <w:sz w:val="32"/>
          <w:szCs w:val="32"/>
          <w:shd w:val="clear" w:color="auto" w:fill="FFFFFF"/>
        </w:rPr>
        <w:t>每门课程配备课程负责人和</w:t>
      </w:r>
      <w:r>
        <w:rPr>
          <w:rFonts w:hint="eastAsia" w:ascii="仿宋" w:hAnsi="仿宋" w:eastAsia="仿宋" w:cs="方正楷体简体"/>
          <w:kern w:val="0"/>
          <w:sz w:val="32"/>
          <w:szCs w:val="32"/>
          <w:shd w:val="clear" w:color="auto" w:fill="FFFFFF"/>
        </w:rPr>
        <w:t>足够</w:t>
      </w:r>
      <w:r>
        <w:rPr>
          <w:rFonts w:ascii="仿宋" w:hAnsi="仿宋" w:eastAsia="仿宋" w:cs="方正楷体简体"/>
          <w:kern w:val="0"/>
          <w:sz w:val="32"/>
          <w:szCs w:val="32"/>
          <w:shd w:val="clear" w:color="auto" w:fill="FFFFFF"/>
        </w:rPr>
        <w:t>的主讲教师</w:t>
      </w:r>
      <w:r>
        <w:rPr>
          <w:rFonts w:hint="eastAsia" w:ascii="仿宋" w:hAnsi="仿宋" w:eastAsia="仿宋" w:cs="方正楷体简体"/>
          <w:kern w:val="0"/>
          <w:sz w:val="32"/>
          <w:szCs w:val="32"/>
          <w:shd w:val="clear" w:color="auto" w:fill="FFFFFF"/>
        </w:rPr>
        <w:t>，</w:t>
      </w:r>
      <w:r>
        <w:rPr>
          <w:rFonts w:ascii="仿宋" w:hAnsi="仿宋" w:eastAsia="仿宋" w:cs="方正楷体简体"/>
          <w:kern w:val="0"/>
          <w:sz w:val="32"/>
          <w:szCs w:val="32"/>
          <w:shd w:val="clear" w:color="auto" w:fill="FFFFFF"/>
        </w:rPr>
        <w:t>课程负责人是课程建设的第一责任人，</w:t>
      </w:r>
      <w:r>
        <w:rPr>
          <w:rFonts w:hint="eastAsia" w:ascii="仿宋" w:hAnsi="仿宋" w:eastAsia="仿宋" w:cs="方正楷体简体"/>
          <w:kern w:val="0"/>
          <w:sz w:val="32"/>
          <w:szCs w:val="32"/>
          <w:shd w:val="clear" w:color="auto" w:fill="FFFFFF"/>
        </w:rPr>
        <w:t>主讲教师与课程负责人共同承担课程建设任务。</w:t>
      </w:r>
    </w:p>
    <w:p>
      <w:pPr>
        <w:widowControl/>
        <w:spacing w:line="600" w:lineRule="atLeast"/>
        <w:ind w:firstLine="643" w:firstLineChars="200"/>
        <w:rPr>
          <w:rFonts w:ascii="仿宋" w:hAnsi="仿宋" w:eastAsia="仿宋" w:cs="宋体"/>
          <w:sz w:val="32"/>
          <w:szCs w:val="32"/>
          <w:shd w:val="clear" w:color="auto" w:fill="FFFFFF"/>
        </w:rPr>
      </w:pPr>
      <w:r>
        <w:rPr>
          <w:rFonts w:hint="eastAsia" w:ascii="仿宋" w:hAnsi="仿宋" w:eastAsia="仿宋" w:cs="方正楷体简体"/>
          <w:b/>
          <w:bCs/>
          <w:kern w:val="0"/>
          <w:sz w:val="32"/>
          <w:szCs w:val="32"/>
          <w:shd w:val="clear" w:color="auto" w:fill="FFFFFF"/>
        </w:rPr>
        <w:t>2</w:t>
      </w:r>
      <w:r>
        <w:rPr>
          <w:rFonts w:ascii="仿宋" w:hAnsi="仿宋" w:eastAsia="仿宋" w:cs="方正楷体简体"/>
          <w:b/>
          <w:bCs/>
          <w:kern w:val="0"/>
          <w:sz w:val="32"/>
          <w:szCs w:val="32"/>
          <w:shd w:val="clear" w:color="auto" w:fill="FFFFFF"/>
        </w:rPr>
        <w:t>.</w:t>
      </w:r>
      <w:r>
        <w:rPr>
          <w:rFonts w:hint="eastAsia" w:ascii="仿宋" w:hAnsi="仿宋" w:eastAsia="仿宋" w:cs="方正楷体简体"/>
          <w:b/>
          <w:bCs/>
          <w:kern w:val="0"/>
          <w:sz w:val="32"/>
          <w:szCs w:val="32"/>
          <w:shd w:val="clear" w:color="auto" w:fill="FFFFFF"/>
        </w:rPr>
        <w:t>建立课程建设督导机制</w:t>
      </w:r>
      <w:r>
        <w:rPr>
          <w:rFonts w:ascii="仿宋" w:hAnsi="仿宋" w:eastAsia="仿宋" w:cs="方正楷体简体"/>
          <w:b/>
          <w:bCs/>
          <w:kern w:val="0"/>
          <w:sz w:val="32"/>
          <w:szCs w:val="32"/>
          <w:shd w:val="clear" w:color="auto" w:fill="FFFFFF"/>
        </w:rPr>
        <w:t>。</w:t>
      </w:r>
      <w:r>
        <w:rPr>
          <w:rFonts w:hint="eastAsia" w:ascii="仿宋" w:hAnsi="仿宋" w:eastAsia="仿宋" w:cs="宋体"/>
          <w:sz w:val="32"/>
          <w:szCs w:val="32"/>
          <w:shd w:val="clear" w:color="auto" w:fill="FFFFFF"/>
        </w:rPr>
        <w:t>省教育厅每年对职业院校的课程标准、授课计划、课堂教学质量等进行不</w:t>
      </w:r>
      <w:r>
        <w:rPr>
          <w:rFonts w:hint="eastAsia" w:ascii="仿宋" w:hAnsi="仿宋" w:eastAsia="仿宋" w:cs="方正仿宋简体"/>
          <w:kern w:val="0"/>
          <w:sz w:val="32"/>
          <w:szCs w:val="32"/>
          <w:shd w:val="clear" w:color="auto" w:fill="FFFFFF"/>
        </w:rPr>
        <w:t>定期视导</w:t>
      </w:r>
      <w:r>
        <w:rPr>
          <w:rFonts w:hint="eastAsia" w:ascii="仿宋" w:hAnsi="仿宋" w:eastAsia="仿宋" w:cs="宋体"/>
          <w:sz w:val="32"/>
          <w:szCs w:val="32"/>
          <w:shd w:val="clear" w:color="auto" w:fill="FFFFFF"/>
        </w:rPr>
        <w:t>。市州教育行政部门要建立课程建设督导机制，定期或不定期对市管职业院校</w:t>
      </w:r>
      <w:r>
        <w:rPr>
          <w:rFonts w:hint="eastAsia" w:ascii="仿宋" w:hAnsi="仿宋" w:eastAsia="仿宋" w:cs="方正楷体简体"/>
          <w:kern w:val="0"/>
          <w:sz w:val="32"/>
          <w:szCs w:val="32"/>
          <w:shd w:val="clear" w:color="auto" w:fill="FFFFFF"/>
        </w:rPr>
        <w:t>进行</w:t>
      </w:r>
      <w:r>
        <w:rPr>
          <w:rFonts w:hint="eastAsia" w:ascii="仿宋" w:hAnsi="仿宋" w:eastAsia="仿宋" w:cs="宋体"/>
          <w:sz w:val="32"/>
          <w:szCs w:val="32"/>
          <w:shd w:val="clear" w:color="auto" w:fill="FFFFFF"/>
        </w:rPr>
        <w:t>课程建设督导。职业院校要对课程标准和教学计划执行情况、课程设计与课程实施质量、课程资源建设状态、课程实习实训条件保障情况等进行常规检查。</w:t>
      </w:r>
    </w:p>
    <w:p>
      <w:pPr>
        <w:widowControl/>
        <w:spacing w:line="600" w:lineRule="atLeast"/>
        <w:ind w:firstLine="643" w:firstLineChars="200"/>
        <w:rPr>
          <w:rFonts w:ascii="仿宋" w:hAnsi="仿宋" w:eastAsia="仿宋" w:cs="方正楷体简体"/>
          <w:kern w:val="0"/>
          <w:sz w:val="32"/>
          <w:szCs w:val="32"/>
          <w:shd w:val="clear" w:color="auto" w:fill="FFFFFF"/>
        </w:rPr>
      </w:pPr>
      <w:r>
        <w:rPr>
          <w:rFonts w:hint="eastAsia" w:ascii="仿宋" w:hAnsi="仿宋" w:eastAsia="仿宋" w:cs="方正楷体简体"/>
          <w:b/>
          <w:bCs/>
          <w:kern w:val="0"/>
          <w:sz w:val="32"/>
          <w:szCs w:val="32"/>
          <w:shd w:val="clear" w:color="auto" w:fill="FFFFFF"/>
        </w:rPr>
        <w:t>3.加强课程教学与管理队伍建设。</w:t>
      </w:r>
      <w:r>
        <w:rPr>
          <w:rFonts w:hint="eastAsia" w:ascii="仿宋" w:hAnsi="仿宋" w:eastAsia="仿宋" w:cs="方正楷体简体"/>
          <w:kern w:val="0"/>
          <w:sz w:val="32"/>
          <w:szCs w:val="32"/>
          <w:shd w:val="clear" w:color="auto" w:fill="FFFFFF"/>
        </w:rPr>
        <w:t>加强课程教学团队的组织建设，明确每一名教师的课程团队归属。建立教师五年一轮的全员培训制度，开展专业骨干教师、团队带头人的培养培训工作。省教育厅每年开展省级优秀课程教学团队遴选工作，培育一批教学名师。定期开展教学管理人员培训，培养一支爱岗敬业的高水平、高素质课程管理团队。</w:t>
      </w:r>
    </w:p>
    <w:p>
      <w:pPr>
        <w:widowControl/>
        <w:spacing w:line="580" w:lineRule="exact"/>
        <w:rPr>
          <w:rFonts w:ascii="仿宋" w:hAnsi="仿宋" w:eastAsia="仿宋" w:cs="宋体"/>
          <w:sz w:val="32"/>
          <w:szCs w:val="32"/>
          <w:shd w:val="clear" w:color="auto" w:fill="FFFFFF"/>
        </w:rPr>
      </w:pPr>
      <w:r>
        <w:rPr>
          <w:rFonts w:hint="eastAsia" w:ascii="仿宋" w:hAnsi="仿宋" w:eastAsia="仿宋" w:cs="宋体"/>
          <w:b/>
          <w:bCs/>
          <w:sz w:val="32"/>
          <w:szCs w:val="32"/>
          <w:shd w:val="clear" w:color="auto" w:fill="FFFFFF"/>
        </w:rPr>
        <w:t xml:space="preserve">    4.完善课程建设保障条件。</w:t>
      </w:r>
      <w:r>
        <w:rPr>
          <w:rFonts w:hint="eastAsia" w:ascii="仿宋" w:hAnsi="仿宋" w:eastAsia="仿宋" w:cs="宋体"/>
          <w:sz w:val="32"/>
          <w:szCs w:val="32"/>
          <w:shd w:val="clear" w:color="auto" w:fill="FFFFFF"/>
        </w:rPr>
        <w:t>职业院校要加大对教学工作的投入，夯实课程教学工作基本条件。配备足够的课程师资力量，提供课程实施必需的场地和设备，保障课程实施。建立课程建设投入增长机制，设立课程建设专项资金，逐年加大课程建设经费投入，切实保证课程建设质量。</w:t>
      </w:r>
    </w:p>
    <w:sectPr>
      <w:footerReference r:id="rId3" w:type="default"/>
      <w:pgSz w:w="11906" w:h="16838"/>
      <w:pgMar w:top="1440" w:right="1797" w:bottom="1440" w:left="1797" w:header="851" w:footer="851"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楷体简体">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w:t>
    </w:r>
    <w:r>
      <w:t xml:space="preserve"> 7 -</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75E"/>
    <w:rsid w:val="00064717"/>
    <w:rsid w:val="00107EBA"/>
    <w:rsid w:val="00153093"/>
    <w:rsid w:val="0017701C"/>
    <w:rsid w:val="001A03AC"/>
    <w:rsid w:val="001A63F6"/>
    <w:rsid w:val="001A70AD"/>
    <w:rsid w:val="001C61FD"/>
    <w:rsid w:val="001D6FCF"/>
    <w:rsid w:val="00203D40"/>
    <w:rsid w:val="00210F62"/>
    <w:rsid w:val="00250D8D"/>
    <w:rsid w:val="0028059B"/>
    <w:rsid w:val="00287730"/>
    <w:rsid w:val="002A6344"/>
    <w:rsid w:val="002D74FB"/>
    <w:rsid w:val="00305FA8"/>
    <w:rsid w:val="00323FC3"/>
    <w:rsid w:val="003956E3"/>
    <w:rsid w:val="00487C8E"/>
    <w:rsid w:val="00594067"/>
    <w:rsid w:val="005971BB"/>
    <w:rsid w:val="005C0861"/>
    <w:rsid w:val="00672E36"/>
    <w:rsid w:val="006C42A8"/>
    <w:rsid w:val="007028DD"/>
    <w:rsid w:val="007371E5"/>
    <w:rsid w:val="00754459"/>
    <w:rsid w:val="00787AFC"/>
    <w:rsid w:val="007B5ED3"/>
    <w:rsid w:val="00800DD2"/>
    <w:rsid w:val="008C7EF9"/>
    <w:rsid w:val="00900191"/>
    <w:rsid w:val="009263FE"/>
    <w:rsid w:val="00941FC2"/>
    <w:rsid w:val="009547A2"/>
    <w:rsid w:val="009548B5"/>
    <w:rsid w:val="009979F7"/>
    <w:rsid w:val="00AA0F41"/>
    <w:rsid w:val="00AC2048"/>
    <w:rsid w:val="00B12633"/>
    <w:rsid w:val="00B80A7A"/>
    <w:rsid w:val="00BC2B1D"/>
    <w:rsid w:val="00BE2175"/>
    <w:rsid w:val="00C03DBB"/>
    <w:rsid w:val="00C10DFC"/>
    <w:rsid w:val="00C6756F"/>
    <w:rsid w:val="00C9163F"/>
    <w:rsid w:val="00CD405E"/>
    <w:rsid w:val="00D07B78"/>
    <w:rsid w:val="00D6675E"/>
    <w:rsid w:val="00D71D45"/>
    <w:rsid w:val="00DA142E"/>
    <w:rsid w:val="00DB7C51"/>
    <w:rsid w:val="00DD101F"/>
    <w:rsid w:val="00E238A0"/>
    <w:rsid w:val="00E458EB"/>
    <w:rsid w:val="00E751CA"/>
    <w:rsid w:val="00EA6E5B"/>
    <w:rsid w:val="00F14957"/>
    <w:rsid w:val="00F53D19"/>
    <w:rsid w:val="00F64B78"/>
    <w:rsid w:val="00F91DDF"/>
    <w:rsid w:val="00FA2BF7"/>
    <w:rsid w:val="00FB2D94"/>
    <w:rsid w:val="00FC01B8"/>
    <w:rsid w:val="012550C7"/>
    <w:rsid w:val="012F5EE9"/>
    <w:rsid w:val="01A212C4"/>
    <w:rsid w:val="01B0266B"/>
    <w:rsid w:val="02886936"/>
    <w:rsid w:val="03B04CAE"/>
    <w:rsid w:val="03EA54C2"/>
    <w:rsid w:val="041A72CD"/>
    <w:rsid w:val="0498266B"/>
    <w:rsid w:val="04EF1DF4"/>
    <w:rsid w:val="05B049FF"/>
    <w:rsid w:val="05D97990"/>
    <w:rsid w:val="06EF41A2"/>
    <w:rsid w:val="076F5965"/>
    <w:rsid w:val="090E3397"/>
    <w:rsid w:val="091A0A95"/>
    <w:rsid w:val="09673928"/>
    <w:rsid w:val="0972762E"/>
    <w:rsid w:val="099D550F"/>
    <w:rsid w:val="0AC870E9"/>
    <w:rsid w:val="0AEB4657"/>
    <w:rsid w:val="0B3A5AFD"/>
    <w:rsid w:val="0B7917D1"/>
    <w:rsid w:val="0B7F4C88"/>
    <w:rsid w:val="0C373AF0"/>
    <w:rsid w:val="0C83684F"/>
    <w:rsid w:val="0CC121F2"/>
    <w:rsid w:val="0CD933E4"/>
    <w:rsid w:val="0E482837"/>
    <w:rsid w:val="0E501491"/>
    <w:rsid w:val="10194A5E"/>
    <w:rsid w:val="1057706F"/>
    <w:rsid w:val="109812D0"/>
    <w:rsid w:val="10981A84"/>
    <w:rsid w:val="10FD1D83"/>
    <w:rsid w:val="121D76FF"/>
    <w:rsid w:val="12D43123"/>
    <w:rsid w:val="12DA2BBD"/>
    <w:rsid w:val="144121C7"/>
    <w:rsid w:val="150A695C"/>
    <w:rsid w:val="15F26951"/>
    <w:rsid w:val="160C3450"/>
    <w:rsid w:val="16585EF9"/>
    <w:rsid w:val="16B858C0"/>
    <w:rsid w:val="16C41D94"/>
    <w:rsid w:val="16D8737A"/>
    <w:rsid w:val="16FF4218"/>
    <w:rsid w:val="17546374"/>
    <w:rsid w:val="17C46864"/>
    <w:rsid w:val="17E02030"/>
    <w:rsid w:val="1852275A"/>
    <w:rsid w:val="18947D7A"/>
    <w:rsid w:val="18DD21A3"/>
    <w:rsid w:val="18E03435"/>
    <w:rsid w:val="19FF07E6"/>
    <w:rsid w:val="1A092222"/>
    <w:rsid w:val="1A9E6107"/>
    <w:rsid w:val="1B4D1266"/>
    <w:rsid w:val="1B670884"/>
    <w:rsid w:val="1D672467"/>
    <w:rsid w:val="1D827257"/>
    <w:rsid w:val="1DE60514"/>
    <w:rsid w:val="1E4F7DFA"/>
    <w:rsid w:val="1E646B5C"/>
    <w:rsid w:val="1E7D03E8"/>
    <w:rsid w:val="1F383917"/>
    <w:rsid w:val="1F540776"/>
    <w:rsid w:val="1FCF4FCE"/>
    <w:rsid w:val="20615211"/>
    <w:rsid w:val="21875071"/>
    <w:rsid w:val="22A312F2"/>
    <w:rsid w:val="230801AE"/>
    <w:rsid w:val="24820873"/>
    <w:rsid w:val="24B35846"/>
    <w:rsid w:val="251605E9"/>
    <w:rsid w:val="25A629A8"/>
    <w:rsid w:val="262C43D7"/>
    <w:rsid w:val="26721E78"/>
    <w:rsid w:val="278849E7"/>
    <w:rsid w:val="27E306AE"/>
    <w:rsid w:val="2818304D"/>
    <w:rsid w:val="286D5689"/>
    <w:rsid w:val="28E159A8"/>
    <w:rsid w:val="29467E88"/>
    <w:rsid w:val="29911ED8"/>
    <w:rsid w:val="29993719"/>
    <w:rsid w:val="29CF56FC"/>
    <w:rsid w:val="2A571B93"/>
    <w:rsid w:val="2A771EDB"/>
    <w:rsid w:val="2A7F5ABE"/>
    <w:rsid w:val="2A8D692E"/>
    <w:rsid w:val="2A904AFA"/>
    <w:rsid w:val="2B396446"/>
    <w:rsid w:val="2BA26F91"/>
    <w:rsid w:val="2CE721E3"/>
    <w:rsid w:val="2D4B07C8"/>
    <w:rsid w:val="2E4C1699"/>
    <w:rsid w:val="2E5F3550"/>
    <w:rsid w:val="2E8E13C7"/>
    <w:rsid w:val="2FB7418B"/>
    <w:rsid w:val="2FB76746"/>
    <w:rsid w:val="2FDB3618"/>
    <w:rsid w:val="315E103B"/>
    <w:rsid w:val="3412740C"/>
    <w:rsid w:val="34690F18"/>
    <w:rsid w:val="34FF2103"/>
    <w:rsid w:val="35203C2C"/>
    <w:rsid w:val="3556430E"/>
    <w:rsid w:val="355F128B"/>
    <w:rsid w:val="35956409"/>
    <w:rsid w:val="36757721"/>
    <w:rsid w:val="36C864A1"/>
    <w:rsid w:val="371679C0"/>
    <w:rsid w:val="37214AB0"/>
    <w:rsid w:val="37924079"/>
    <w:rsid w:val="38417CD2"/>
    <w:rsid w:val="38E12C6D"/>
    <w:rsid w:val="3A174780"/>
    <w:rsid w:val="3A234C13"/>
    <w:rsid w:val="3A5B1FB8"/>
    <w:rsid w:val="3B2455A6"/>
    <w:rsid w:val="3B92418D"/>
    <w:rsid w:val="3BBD2807"/>
    <w:rsid w:val="3D09745C"/>
    <w:rsid w:val="400B049B"/>
    <w:rsid w:val="40E53F94"/>
    <w:rsid w:val="41E166CD"/>
    <w:rsid w:val="41EC26B4"/>
    <w:rsid w:val="421E07FA"/>
    <w:rsid w:val="4284274F"/>
    <w:rsid w:val="4293381A"/>
    <w:rsid w:val="42A35CDD"/>
    <w:rsid w:val="4412521C"/>
    <w:rsid w:val="456F3942"/>
    <w:rsid w:val="45755C9F"/>
    <w:rsid w:val="464C52E5"/>
    <w:rsid w:val="46B60CAE"/>
    <w:rsid w:val="46C5219B"/>
    <w:rsid w:val="472709A7"/>
    <w:rsid w:val="482E0E4E"/>
    <w:rsid w:val="498D05E1"/>
    <w:rsid w:val="49F04488"/>
    <w:rsid w:val="4A117162"/>
    <w:rsid w:val="4B584EB2"/>
    <w:rsid w:val="4B705F07"/>
    <w:rsid w:val="4E957A8E"/>
    <w:rsid w:val="5084255D"/>
    <w:rsid w:val="51952099"/>
    <w:rsid w:val="51EA40EE"/>
    <w:rsid w:val="52CC767B"/>
    <w:rsid w:val="53640DC7"/>
    <w:rsid w:val="536751CB"/>
    <w:rsid w:val="54DE2A61"/>
    <w:rsid w:val="54F25116"/>
    <w:rsid w:val="55085BB9"/>
    <w:rsid w:val="55A20F5F"/>
    <w:rsid w:val="55B62823"/>
    <w:rsid w:val="56580C0D"/>
    <w:rsid w:val="567D7165"/>
    <w:rsid w:val="57267135"/>
    <w:rsid w:val="5731196B"/>
    <w:rsid w:val="58B70E02"/>
    <w:rsid w:val="591A5959"/>
    <w:rsid w:val="5976164B"/>
    <w:rsid w:val="59D26C6C"/>
    <w:rsid w:val="5A666E7E"/>
    <w:rsid w:val="5A6C5646"/>
    <w:rsid w:val="5B9D5C47"/>
    <w:rsid w:val="5BFA5671"/>
    <w:rsid w:val="5C2A3EDE"/>
    <w:rsid w:val="5C420776"/>
    <w:rsid w:val="5CCE7F01"/>
    <w:rsid w:val="5DD51BF5"/>
    <w:rsid w:val="5DFD26DA"/>
    <w:rsid w:val="5E521D86"/>
    <w:rsid w:val="5EF20754"/>
    <w:rsid w:val="5EFC76A1"/>
    <w:rsid w:val="5F0D542A"/>
    <w:rsid w:val="5F485778"/>
    <w:rsid w:val="60FA04A5"/>
    <w:rsid w:val="616408C1"/>
    <w:rsid w:val="61CD6A68"/>
    <w:rsid w:val="630F35EE"/>
    <w:rsid w:val="636C1A7E"/>
    <w:rsid w:val="643D5A20"/>
    <w:rsid w:val="64862FEF"/>
    <w:rsid w:val="64EB661B"/>
    <w:rsid w:val="65717C1C"/>
    <w:rsid w:val="65825C81"/>
    <w:rsid w:val="661A419F"/>
    <w:rsid w:val="6651157C"/>
    <w:rsid w:val="66D42EFC"/>
    <w:rsid w:val="66D83248"/>
    <w:rsid w:val="677F0529"/>
    <w:rsid w:val="67E27273"/>
    <w:rsid w:val="69404A0A"/>
    <w:rsid w:val="69730F62"/>
    <w:rsid w:val="69883B58"/>
    <w:rsid w:val="69EF16DA"/>
    <w:rsid w:val="6A8168A6"/>
    <w:rsid w:val="6BA508C3"/>
    <w:rsid w:val="6DA96E44"/>
    <w:rsid w:val="6E0E650B"/>
    <w:rsid w:val="6E3855FE"/>
    <w:rsid w:val="6EBE636C"/>
    <w:rsid w:val="6F594961"/>
    <w:rsid w:val="6FF70A46"/>
    <w:rsid w:val="71244747"/>
    <w:rsid w:val="720A000F"/>
    <w:rsid w:val="728C5E52"/>
    <w:rsid w:val="729122BA"/>
    <w:rsid w:val="72B83FB0"/>
    <w:rsid w:val="73A17FCB"/>
    <w:rsid w:val="73C345F5"/>
    <w:rsid w:val="75036149"/>
    <w:rsid w:val="75141C28"/>
    <w:rsid w:val="75643FB4"/>
    <w:rsid w:val="77044AA1"/>
    <w:rsid w:val="77C42FBA"/>
    <w:rsid w:val="785B67B8"/>
    <w:rsid w:val="78745F92"/>
    <w:rsid w:val="78952061"/>
    <w:rsid w:val="791A05C0"/>
    <w:rsid w:val="791D0191"/>
    <w:rsid w:val="79EE2DDA"/>
    <w:rsid w:val="7A014D6F"/>
    <w:rsid w:val="7B067C1F"/>
    <w:rsid w:val="7B8C46AD"/>
    <w:rsid w:val="7C1D5C35"/>
    <w:rsid w:val="7F4F495B"/>
    <w:rsid w:val="7FFA2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4"/>
    <w:qFormat/>
    <w:uiPriority w:val="0"/>
    <w:pPr>
      <w:keepNext/>
      <w:keepLines/>
      <w:ind w:firstLine="200" w:firstLineChars="200"/>
      <w:outlineLvl w:val="0"/>
    </w:pPr>
    <w:rPr>
      <w:rFonts w:eastAsia="黑体"/>
      <w:b/>
      <w:bCs/>
      <w:kern w:val="44"/>
      <w:sz w:val="28"/>
      <w:szCs w:val="44"/>
    </w:rPr>
  </w:style>
  <w:style w:type="paragraph" w:styleId="3">
    <w:name w:val="heading 3"/>
    <w:basedOn w:val="1"/>
    <w:next w:val="1"/>
    <w:link w:val="16"/>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qFormat/>
    <w:uiPriority w:val="0"/>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0">
    <w:name w:val="Strong"/>
    <w:basedOn w:val="9"/>
    <w:qFormat/>
    <w:uiPriority w:val="0"/>
    <w:rPr>
      <w:b/>
    </w:rPr>
  </w:style>
  <w:style w:type="character" w:styleId="11">
    <w:name w:val="Emphasis"/>
    <w:basedOn w:val="9"/>
    <w:qFormat/>
    <w:uiPriority w:val="20"/>
    <w:rPr>
      <w:i/>
      <w:iCs/>
    </w:rPr>
  </w:style>
  <w:style w:type="character" w:styleId="12">
    <w:name w:val="Hyperlink"/>
    <w:basedOn w:val="9"/>
    <w:qFormat/>
    <w:uiPriority w:val="99"/>
    <w:rPr>
      <w:color w:val="0000FF"/>
      <w:u w:val="single"/>
    </w:rPr>
  </w:style>
  <w:style w:type="character" w:customStyle="1" w:styleId="13">
    <w:name w:val="页眉 Char"/>
    <w:basedOn w:val="9"/>
    <w:link w:val="6"/>
    <w:qFormat/>
    <w:uiPriority w:val="0"/>
    <w:rPr>
      <w:rFonts w:ascii="Calibri" w:hAnsi="Calibri"/>
      <w:kern w:val="2"/>
      <w:sz w:val="18"/>
      <w:szCs w:val="18"/>
    </w:rPr>
  </w:style>
  <w:style w:type="character" w:customStyle="1" w:styleId="14">
    <w:name w:val="标题 1 Char"/>
    <w:basedOn w:val="9"/>
    <w:link w:val="2"/>
    <w:qFormat/>
    <w:uiPriority w:val="0"/>
    <w:rPr>
      <w:rFonts w:ascii="Calibri" w:hAnsi="Calibri" w:eastAsia="黑体"/>
      <w:b/>
      <w:bCs/>
      <w:kern w:val="44"/>
      <w:sz w:val="28"/>
      <w:szCs w:val="44"/>
    </w:rPr>
  </w:style>
  <w:style w:type="character" w:customStyle="1" w:styleId="15">
    <w:name w:val="页脚 Char"/>
    <w:basedOn w:val="9"/>
    <w:link w:val="5"/>
    <w:qFormat/>
    <w:uiPriority w:val="99"/>
    <w:rPr>
      <w:rFonts w:ascii="Calibri" w:hAnsi="Calibri"/>
      <w:kern w:val="2"/>
      <w:sz w:val="18"/>
      <w:szCs w:val="18"/>
    </w:rPr>
  </w:style>
  <w:style w:type="character" w:customStyle="1" w:styleId="16">
    <w:name w:val="标题 3 Char"/>
    <w:basedOn w:val="9"/>
    <w:link w:val="3"/>
    <w:qFormat/>
    <w:uiPriority w:val="0"/>
    <w:rPr>
      <w:rFonts w:ascii="Calibri" w:hAnsi="Calibri"/>
      <w:b/>
      <w:bCs/>
      <w:kern w:val="2"/>
      <w:sz w:val="32"/>
      <w:szCs w:val="32"/>
    </w:rPr>
  </w:style>
  <w:style w:type="character" w:customStyle="1" w:styleId="17">
    <w:name w:val="m"/>
    <w:basedOn w:val="9"/>
    <w:qFormat/>
    <w:uiPriority w:val="0"/>
  </w:style>
  <w:style w:type="character" w:customStyle="1" w:styleId="18">
    <w:name w:val="批注框文本 Char"/>
    <w:basedOn w:val="9"/>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647</Words>
  <Characters>3691</Characters>
  <Lines>30</Lines>
  <Paragraphs>8</Paragraphs>
  <TotalTime>170</TotalTime>
  <ScaleCrop>false</ScaleCrop>
  <LinksUpToDate>false</LinksUpToDate>
  <CharactersWithSpaces>4330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2018-10-30T03:53:00Z</dcterms:created>
  <dc:creator>peng</dc:creator>
  <cp:lastModifiedBy>李军雄</cp:lastModifiedBy>
  <cp:lastPrinted>2019-08-07T09:18:00Z</cp:lastPrinted>
  <dcterms:modified xsi:type="dcterms:W3CDTF">2020-09-27T08:39:43Z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